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5F5CD" w14:textId="5ED187BA" w:rsidR="005F7C81" w:rsidRPr="005F7C81" w:rsidRDefault="005F7C81" w:rsidP="005F7C81">
      <w:pPr>
        <w:widowControl w:val="0"/>
        <w:autoSpaceDE w:val="0"/>
        <w:autoSpaceDN w:val="0"/>
        <w:adjustRightInd w:val="0"/>
        <w:spacing w:before="10" w:after="30"/>
        <w:jc w:val="both"/>
        <w:rPr>
          <w:rFonts w:ascii="Arial" w:hAnsi="Arial" w:cs="Arial"/>
          <w:b/>
          <w:bCs/>
        </w:rPr>
      </w:pPr>
      <w:r w:rsidRPr="005F7C81">
        <w:rPr>
          <w:rFonts w:ascii="Arial" w:hAnsi="Arial" w:cs="Arial"/>
          <w:b/>
          <w:bCs/>
        </w:rPr>
        <w:t>Allgemeine Vorbemerkungen</w:t>
      </w:r>
    </w:p>
    <w:p w14:paraId="2750DA84" w14:textId="77777777" w:rsidR="005F7C81" w:rsidRPr="005F7C81" w:rsidRDefault="005F7C81" w:rsidP="005F7C81">
      <w:pPr>
        <w:widowControl w:val="0"/>
        <w:autoSpaceDE w:val="0"/>
        <w:autoSpaceDN w:val="0"/>
        <w:adjustRightInd w:val="0"/>
        <w:spacing w:before="10" w:after="30"/>
        <w:jc w:val="both"/>
        <w:rPr>
          <w:rFonts w:ascii="Arial" w:hAnsi="Arial" w:cs="Arial"/>
          <w:b/>
          <w:bCs/>
          <w:sz w:val="22"/>
          <w:szCs w:val="22"/>
        </w:rPr>
      </w:pPr>
    </w:p>
    <w:p w14:paraId="42036F92" w14:textId="77777777" w:rsidR="005F7C81" w:rsidRPr="005F7C81" w:rsidRDefault="005F7C81" w:rsidP="005F7C81">
      <w:pPr>
        <w:widowControl w:val="0"/>
        <w:autoSpaceDE w:val="0"/>
        <w:autoSpaceDN w:val="0"/>
        <w:adjustRightInd w:val="0"/>
        <w:spacing w:before="10" w:after="30"/>
        <w:jc w:val="both"/>
        <w:rPr>
          <w:rFonts w:ascii="Arial" w:hAnsi="Arial" w:cs="Arial"/>
          <w:color w:val="000000" w:themeColor="text1"/>
          <w:sz w:val="22"/>
          <w:szCs w:val="22"/>
        </w:rPr>
      </w:pPr>
      <w:r w:rsidRPr="005F7C81">
        <w:rPr>
          <w:rFonts w:ascii="Arial" w:hAnsi="Arial" w:cs="Arial"/>
          <w:sz w:val="22"/>
          <w:szCs w:val="22"/>
        </w:rPr>
        <w:t xml:space="preserve">Der Bauausführung liegen die Architektenpläne, die statische Berechnung mit den Positionsplänen, die einschlägigen EN/DIN-Vorschriften, allgemeine bauaufsichtliche Zulassungen sowie die VOB und die besonderen Vertragsbedingungen des Auftraggebers mit Sicherheitsbestimmungen und zusätzlichen technischen Vorschriften in der jeweils aktuellen Fassung zugrunde. Weiterhin sind die einschlägigen Baustoff- und </w:t>
      </w:r>
      <w:r w:rsidRPr="005F7C81">
        <w:rPr>
          <w:rFonts w:ascii="Arial" w:hAnsi="Arial" w:cs="Arial"/>
          <w:color w:val="000000" w:themeColor="text1"/>
          <w:sz w:val="22"/>
          <w:szCs w:val="22"/>
        </w:rPr>
        <w:t xml:space="preserve">Herstellungsnormen zu beachten. </w:t>
      </w:r>
    </w:p>
    <w:p w14:paraId="18DC136D" w14:textId="77777777" w:rsidR="005F7C81" w:rsidRPr="005F7C81" w:rsidRDefault="005F7C81" w:rsidP="005F7C81">
      <w:pPr>
        <w:widowControl w:val="0"/>
        <w:autoSpaceDE w:val="0"/>
        <w:autoSpaceDN w:val="0"/>
        <w:adjustRightInd w:val="0"/>
        <w:spacing w:before="10" w:after="30"/>
        <w:jc w:val="both"/>
        <w:rPr>
          <w:rFonts w:ascii="Arial" w:hAnsi="Arial" w:cs="Arial"/>
          <w:color w:val="000000" w:themeColor="text1"/>
          <w:sz w:val="22"/>
          <w:szCs w:val="22"/>
          <w:u w:val="single"/>
        </w:rPr>
      </w:pPr>
    </w:p>
    <w:p w14:paraId="4DE1F8D7" w14:textId="77777777" w:rsidR="005F7C81" w:rsidRPr="005F7C81" w:rsidRDefault="005F7C81" w:rsidP="005F7C81">
      <w:pPr>
        <w:widowControl w:val="0"/>
        <w:autoSpaceDE w:val="0"/>
        <w:autoSpaceDN w:val="0"/>
        <w:adjustRightInd w:val="0"/>
        <w:spacing w:before="10" w:after="30"/>
        <w:jc w:val="both"/>
        <w:rPr>
          <w:rFonts w:ascii="Arial" w:hAnsi="Arial" w:cs="Arial"/>
          <w:sz w:val="22"/>
          <w:szCs w:val="22"/>
        </w:rPr>
      </w:pPr>
      <w:r w:rsidRPr="005F7C81">
        <w:rPr>
          <w:rFonts w:ascii="Arial" w:hAnsi="Arial" w:cs="Arial"/>
          <w:color w:val="000000" w:themeColor="text1"/>
          <w:sz w:val="22"/>
          <w:szCs w:val="22"/>
        </w:rPr>
        <w:t>Besonders</w:t>
      </w:r>
      <w:r w:rsidRPr="005F7C81">
        <w:rPr>
          <w:rFonts w:ascii="Arial" w:hAnsi="Arial" w:cs="Arial"/>
          <w:sz w:val="22"/>
          <w:szCs w:val="22"/>
        </w:rPr>
        <w:t xml:space="preserve"> zu beachten sind:</w:t>
      </w:r>
    </w:p>
    <w:p w14:paraId="71142B71" w14:textId="77777777" w:rsidR="005F7C81" w:rsidRPr="005F7C81" w:rsidRDefault="005F7C81" w:rsidP="005F7C81">
      <w:pPr>
        <w:widowControl w:val="0"/>
        <w:autoSpaceDE w:val="0"/>
        <w:autoSpaceDN w:val="0"/>
        <w:adjustRightInd w:val="0"/>
        <w:spacing w:before="10" w:after="30"/>
        <w:jc w:val="both"/>
        <w:rPr>
          <w:rFonts w:ascii="Arial" w:hAnsi="Arial" w:cs="Arial"/>
          <w:sz w:val="22"/>
          <w:szCs w:val="22"/>
        </w:rPr>
      </w:pPr>
    </w:p>
    <w:p w14:paraId="2DD37800" w14:textId="77777777" w:rsidR="005F7C81" w:rsidRPr="005F7C81" w:rsidRDefault="005F7C81" w:rsidP="005F7C81">
      <w:pPr>
        <w:widowControl w:val="0"/>
        <w:autoSpaceDE w:val="0"/>
        <w:autoSpaceDN w:val="0"/>
        <w:adjustRightInd w:val="0"/>
        <w:spacing w:before="10" w:after="30"/>
        <w:jc w:val="both"/>
        <w:rPr>
          <w:rFonts w:ascii="Arial" w:hAnsi="Arial" w:cs="Arial"/>
          <w:sz w:val="22"/>
          <w:szCs w:val="22"/>
        </w:rPr>
      </w:pPr>
      <w:r w:rsidRPr="005F7C81">
        <w:rPr>
          <w:rFonts w:ascii="Arial" w:hAnsi="Arial" w:cs="Arial"/>
          <w:sz w:val="22"/>
          <w:szCs w:val="22"/>
        </w:rPr>
        <w:t xml:space="preserve">- VOB/C ATV DIN 18299 "Allgemeine Regelungen für Bauarbeiten jeder Art", </w:t>
      </w:r>
    </w:p>
    <w:p w14:paraId="24AF6BD9" w14:textId="77777777" w:rsidR="005F7C81" w:rsidRPr="005F7C81" w:rsidRDefault="005F7C81" w:rsidP="005F7C81">
      <w:pPr>
        <w:widowControl w:val="0"/>
        <w:autoSpaceDE w:val="0"/>
        <w:autoSpaceDN w:val="0"/>
        <w:adjustRightInd w:val="0"/>
        <w:spacing w:before="10" w:after="30"/>
        <w:jc w:val="both"/>
        <w:rPr>
          <w:rFonts w:ascii="Arial" w:hAnsi="Arial" w:cs="Arial"/>
          <w:sz w:val="22"/>
          <w:szCs w:val="22"/>
        </w:rPr>
      </w:pPr>
      <w:r w:rsidRPr="005F7C81">
        <w:rPr>
          <w:rFonts w:ascii="Arial" w:hAnsi="Arial" w:cs="Arial"/>
          <w:sz w:val="22"/>
          <w:szCs w:val="22"/>
        </w:rPr>
        <w:t xml:space="preserve">- VOB/C ATV DIN 18330 "Mauerarbeiten", </w:t>
      </w:r>
    </w:p>
    <w:p w14:paraId="78C9211F" w14:textId="77777777" w:rsidR="005F7C81" w:rsidRPr="005F7C81" w:rsidRDefault="005F7C81" w:rsidP="005F7C81">
      <w:pPr>
        <w:widowControl w:val="0"/>
        <w:autoSpaceDE w:val="0"/>
        <w:autoSpaceDN w:val="0"/>
        <w:adjustRightInd w:val="0"/>
        <w:spacing w:before="10" w:after="30"/>
        <w:jc w:val="both"/>
        <w:rPr>
          <w:rFonts w:ascii="Arial" w:hAnsi="Arial" w:cs="Arial"/>
          <w:sz w:val="22"/>
          <w:szCs w:val="22"/>
        </w:rPr>
      </w:pPr>
      <w:r w:rsidRPr="005F7C81">
        <w:rPr>
          <w:rFonts w:ascii="Arial" w:hAnsi="Arial" w:cs="Arial"/>
          <w:sz w:val="22"/>
          <w:szCs w:val="22"/>
        </w:rPr>
        <w:t xml:space="preserve">- DIN 18202 "Toleranzen im Hochbau - Bauwerke", </w:t>
      </w:r>
    </w:p>
    <w:p w14:paraId="5708926E" w14:textId="77777777" w:rsidR="005F7C81" w:rsidRPr="005F7C81" w:rsidRDefault="005F7C81" w:rsidP="005F7C81">
      <w:pPr>
        <w:widowControl w:val="0"/>
        <w:autoSpaceDE w:val="0"/>
        <w:autoSpaceDN w:val="0"/>
        <w:adjustRightInd w:val="0"/>
        <w:spacing w:before="10" w:after="30"/>
        <w:jc w:val="both"/>
        <w:rPr>
          <w:rFonts w:ascii="Arial" w:hAnsi="Arial" w:cs="Arial"/>
          <w:sz w:val="22"/>
          <w:szCs w:val="22"/>
        </w:rPr>
      </w:pPr>
      <w:r w:rsidRPr="005F7C81">
        <w:rPr>
          <w:rFonts w:ascii="Arial" w:hAnsi="Arial" w:cs="Arial"/>
          <w:sz w:val="22"/>
          <w:szCs w:val="22"/>
        </w:rPr>
        <w:t xml:space="preserve">- Normenreihe DIN EN 1996 „Bemessung und Konstruktion von Mauerwerksbauten“, </w:t>
      </w:r>
    </w:p>
    <w:p w14:paraId="7EE65CA6" w14:textId="77777777" w:rsidR="005F7C81" w:rsidRPr="005F7C81" w:rsidRDefault="005F7C81" w:rsidP="005F7C81">
      <w:pPr>
        <w:widowControl w:val="0"/>
        <w:autoSpaceDE w:val="0"/>
        <w:autoSpaceDN w:val="0"/>
        <w:adjustRightInd w:val="0"/>
        <w:spacing w:before="10" w:after="30"/>
        <w:jc w:val="both"/>
        <w:rPr>
          <w:rFonts w:ascii="Arial" w:hAnsi="Arial" w:cs="Arial"/>
          <w:sz w:val="22"/>
          <w:szCs w:val="22"/>
        </w:rPr>
      </w:pPr>
      <w:r w:rsidRPr="005F7C81">
        <w:rPr>
          <w:rFonts w:ascii="Arial" w:hAnsi="Arial" w:cs="Arial"/>
          <w:sz w:val="22"/>
          <w:szCs w:val="22"/>
        </w:rPr>
        <w:t xml:space="preserve">  </w:t>
      </w:r>
      <w:proofErr w:type="gramStart"/>
      <w:r w:rsidRPr="005F7C81">
        <w:rPr>
          <w:rFonts w:ascii="Arial" w:hAnsi="Arial" w:cs="Arial"/>
          <w:sz w:val="22"/>
          <w:szCs w:val="22"/>
        </w:rPr>
        <w:t>mit  nationalen</w:t>
      </w:r>
      <w:proofErr w:type="gramEnd"/>
      <w:r w:rsidRPr="005F7C81">
        <w:rPr>
          <w:rFonts w:ascii="Arial" w:hAnsi="Arial" w:cs="Arial"/>
          <w:sz w:val="22"/>
          <w:szCs w:val="22"/>
        </w:rPr>
        <w:t xml:space="preserve"> Anhängen</w:t>
      </w:r>
    </w:p>
    <w:p w14:paraId="667D5293" w14:textId="77777777" w:rsidR="005F7C81" w:rsidRPr="005F7C81" w:rsidRDefault="005F7C81" w:rsidP="005F7C81">
      <w:pPr>
        <w:widowControl w:val="0"/>
        <w:autoSpaceDE w:val="0"/>
        <w:autoSpaceDN w:val="0"/>
        <w:adjustRightInd w:val="0"/>
        <w:spacing w:before="10" w:after="30"/>
        <w:jc w:val="both"/>
        <w:rPr>
          <w:rFonts w:ascii="Arial" w:hAnsi="Arial" w:cs="Arial"/>
          <w:sz w:val="22"/>
          <w:szCs w:val="22"/>
        </w:rPr>
      </w:pPr>
      <w:r w:rsidRPr="005F7C81">
        <w:rPr>
          <w:rFonts w:ascii="Arial" w:hAnsi="Arial" w:cs="Arial"/>
          <w:sz w:val="22"/>
          <w:szCs w:val="22"/>
        </w:rPr>
        <w:t xml:space="preserve">- Normenreihe DIN 4102 "Brandverhalten von Baustoffen und Bauteilen“, </w:t>
      </w:r>
    </w:p>
    <w:p w14:paraId="70D5BE6C" w14:textId="77777777" w:rsidR="005F7C81" w:rsidRPr="005F7C81" w:rsidRDefault="005F7C81" w:rsidP="005F7C81">
      <w:pPr>
        <w:widowControl w:val="0"/>
        <w:autoSpaceDE w:val="0"/>
        <w:autoSpaceDN w:val="0"/>
        <w:adjustRightInd w:val="0"/>
        <w:spacing w:before="10" w:after="30"/>
        <w:jc w:val="both"/>
        <w:rPr>
          <w:rFonts w:ascii="Arial" w:hAnsi="Arial" w:cs="Arial"/>
          <w:sz w:val="22"/>
          <w:szCs w:val="22"/>
        </w:rPr>
      </w:pPr>
      <w:r w:rsidRPr="005F7C81">
        <w:rPr>
          <w:rFonts w:ascii="Arial" w:hAnsi="Arial" w:cs="Arial"/>
          <w:sz w:val="22"/>
          <w:szCs w:val="22"/>
        </w:rPr>
        <w:t>- Normenreihe DIN 4103 „Nichttragende innere Trennwände“</w:t>
      </w:r>
    </w:p>
    <w:p w14:paraId="52F71A16" w14:textId="77777777" w:rsidR="005F7C81" w:rsidRPr="005F7C81" w:rsidRDefault="005F7C81" w:rsidP="005F7C81">
      <w:pPr>
        <w:widowControl w:val="0"/>
        <w:autoSpaceDE w:val="0"/>
        <w:autoSpaceDN w:val="0"/>
        <w:adjustRightInd w:val="0"/>
        <w:spacing w:before="10" w:after="30"/>
        <w:jc w:val="both"/>
        <w:rPr>
          <w:rFonts w:ascii="Arial" w:hAnsi="Arial" w:cs="Arial"/>
          <w:sz w:val="22"/>
          <w:szCs w:val="22"/>
        </w:rPr>
      </w:pPr>
      <w:r w:rsidRPr="005F7C81">
        <w:rPr>
          <w:rFonts w:ascii="Arial" w:hAnsi="Arial" w:cs="Arial"/>
          <w:sz w:val="22"/>
          <w:szCs w:val="22"/>
        </w:rPr>
        <w:t xml:space="preserve">- Normenreihe DIN 4108 "Wärmeschutz und Energie-Einsparung in Gebäuden", </w:t>
      </w:r>
    </w:p>
    <w:p w14:paraId="6CB0AAB6" w14:textId="77777777" w:rsidR="005F7C81" w:rsidRPr="005F7C81" w:rsidRDefault="005F7C81" w:rsidP="005F7C81">
      <w:pPr>
        <w:widowControl w:val="0"/>
        <w:autoSpaceDE w:val="0"/>
        <w:autoSpaceDN w:val="0"/>
        <w:adjustRightInd w:val="0"/>
        <w:spacing w:before="10" w:after="30"/>
        <w:jc w:val="both"/>
        <w:rPr>
          <w:rFonts w:ascii="Arial" w:hAnsi="Arial" w:cs="Arial"/>
          <w:sz w:val="22"/>
          <w:szCs w:val="22"/>
        </w:rPr>
      </w:pPr>
      <w:r w:rsidRPr="005F7C81">
        <w:rPr>
          <w:rFonts w:ascii="Arial" w:hAnsi="Arial" w:cs="Arial"/>
          <w:sz w:val="22"/>
          <w:szCs w:val="22"/>
        </w:rPr>
        <w:t xml:space="preserve">- Normenreihe DIN 4109 "Schallschutz im Hochbau", </w:t>
      </w:r>
    </w:p>
    <w:p w14:paraId="5091F776" w14:textId="77777777" w:rsidR="005F7C81" w:rsidRPr="005F7C81" w:rsidRDefault="005F7C81" w:rsidP="005F7C81">
      <w:pPr>
        <w:widowControl w:val="0"/>
        <w:autoSpaceDE w:val="0"/>
        <w:autoSpaceDN w:val="0"/>
        <w:adjustRightInd w:val="0"/>
        <w:spacing w:before="10" w:after="30"/>
        <w:jc w:val="both"/>
        <w:rPr>
          <w:rFonts w:ascii="Arial" w:hAnsi="Arial" w:cs="Arial"/>
          <w:sz w:val="22"/>
          <w:szCs w:val="22"/>
        </w:rPr>
      </w:pPr>
      <w:r w:rsidRPr="005F7C81">
        <w:rPr>
          <w:rFonts w:ascii="Arial" w:hAnsi="Arial" w:cs="Arial"/>
          <w:sz w:val="22"/>
          <w:szCs w:val="22"/>
        </w:rPr>
        <w:t>- DIN EN 771-2 „Festlegung für Mauersteine - Teil 2: Kalksandsteine“ in Verbindung mit</w:t>
      </w:r>
    </w:p>
    <w:p w14:paraId="0ACF40B6" w14:textId="77777777" w:rsidR="005F7C81" w:rsidRPr="005F7C81" w:rsidRDefault="005F7C81" w:rsidP="005F7C81">
      <w:pPr>
        <w:widowControl w:val="0"/>
        <w:autoSpaceDE w:val="0"/>
        <w:autoSpaceDN w:val="0"/>
        <w:adjustRightInd w:val="0"/>
        <w:spacing w:before="10" w:after="30"/>
        <w:ind w:left="92" w:hanging="92"/>
        <w:jc w:val="both"/>
        <w:rPr>
          <w:rStyle w:val="Fett"/>
          <w:rFonts w:ascii="Arial" w:hAnsi="Arial" w:cs="Arial"/>
          <w:b w:val="0"/>
          <w:sz w:val="28"/>
          <w:szCs w:val="28"/>
        </w:rPr>
      </w:pPr>
      <w:r w:rsidRPr="005F7C81">
        <w:rPr>
          <w:rFonts w:ascii="Arial" w:hAnsi="Arial" w:cs="Arial"/>
          <w:sz w:val="22"/>
          <w:szCs w:val="22"/>
        </w:rPr>
        <w:t>- DIN 20000-402 „</w:t>
      </w:r>
      <w:r w:rsidRPr="005F7C81">
        <w:rPr>
          <w:rStyle w:val="Fett"/>
          <w:rFonts w:ascii="Arial" w:hAnsi="Arial" w:cs="Arial"/>
          <w:b w:val="0"/>
          <w:sz w:val="22"/>
          <w:szCs w:val="22"/>
        </w:rPr>
        <w:t>Anwendung von Bauprodukten in Bauwerken - Teil 402: Regeln für die Verwendung von Kalksandsteinen nach DIN EN 771“</w:t>
      </w:r>
    </w:p>
    <w:p w14:paraId="4BF24D99" w14:textId="77777777" w:rsidR="005F7C81" w:rsidRPr="005F7C81" w:rsidRDefault="005F7C81" w:rsidP="005F7C81">
      <w:pPr>
        <w:widowControl w:val="0"/>
        <w:autoSpaceDE w:val="0"/>
        <w:autoSpaceDN w:val="0"/>
        <w:adjustRightInd w:val="0"/>
        <w:spacing w:before="10" w:after="30"/>
        <w:ind w:left="92" w:hanging="92"/>
        <w:jc w:val="both"/>
        <w:rPr>
          <w:rStyle w:val="Fett"/>
          <w:rFonts w:ascii="Arial" w:hAnsi="Arial" w:cs="Arial"/>
          <w:b w:val="0"/>
          <w:sz w:val="22"/>
          <w:szCs w:val="22"/>
        </w:rPr>
      </w:pPr>
      <w:r w:rsidRPr="005F7C81">
        <w:rPr>
          <w:rStyle w:val="Fett"/>
          <w:rFonts w:ascii="Arial" w:hAnsi="Arial" w:cs="Arial"/>
          <w:b w:val="0"/>
          <w:sz w:val="22"/>
          <w:szCs w:val="22"/>
        </w:rPr>
        <w:t>- Normenreihe DIN EN 771 „Festlegungen für Mauersteine“</w:t>
      </w:r>
    </w:p>
    <w:p w14:paraId="2997CB5D" w14:textId="77777777" w:rsidR="005F7C81" w:rsidRPr="005F7C81" w:rsidRDefault="005F7C81" w:rsidP="005F7C81">
      <w:pPr>
        <w:widowControl w:val="0"/>
        <w:autoSpaceDE w:val="0"/>
        <w:autoSpaceDN w:val="0"/>
        <w:adjustRightInd w:val="0"/>
        <w:spacing w:before="10" w:after="30"/>
        <w:ind w:left="92" w:hanging="92"/>
        <w:jc w:val="both"/>
        <w:rPr>
          <w:rStyle w:val="Fett"/>
          <w:rFonts w:ascii="Arial" w:hAnsi="Arial" w:cs="Arial"/>
          <w:b w:val="0"/>
          <w:sz w:val="22"/>
          <w:szCs w:val="22"/>
        </w:rPr>
      </w:pPr>
      <w:r w:rsidRPr="005F7C81">
        <w:rPr>
          <w:rStyle w:val="Fett"/>
          <w:rFonts w:ascii="Arial" w:hAnsi="Arial" w:cs="Arial"/>
          <w:sz w:val="22"/>
          <w:szCs w:val="22"/>
        </w:rPr>
        <w:t>-</w:t>
      </w:r>
      <w:r w:rsidRPr="005F7C81">
        <w:rPr>
          <w:rStyle w:val="Fett"/>
          <w:rFonts w:ascii="Arial" w:hAnsi="Arial" w:cs="Arial"/>
          <w:b w:val="0"/>
          <w:sz w:val="22"/>
          <w:szCs w:val="22"/>
        </w:rPr>
        <w:t xml:space="preserve"> Normenreihe DIN 18550 „Planung, Zubereitung und Ausführung von Außen- und Innenputzen“</w:t>
      </w:r>
    </w:p>
    <w:p w14:paraId="3F616E06" w14:textId="77777777" w:rsidR="005F7C81" w:rsidRPr="005F7C81" w:rsidRDefault="005F7C81" w:rsidP="005F7C81">
      <w:pPr>
        <w:widowControl w:val="0"/>
        <w:autoSpaceDE w:val="0"/>
        <w:autoSpaceDN w:val="0"/>
        <w:adjustRightInd w:val="0"/>
        <w:spacing w:before="10" w:after="30"/>
        <w:ind w:left="92" w:hanging="92"/>
        <w:jc w:val="both"/>
        <w:rPr>
          <w:rStyle w:val="Fett"/>
          <w:rFonts w:ascii="Arial" w:hAnsi="Arial" w:cs="Arial"/>
          <w:b w:val="0"/>
          <w:sz w:val="22"/>
          <w:szCs w:val="22"/>
        </w:rPr>
      </w:pPr>
      <w:r w:rsidRPr="005F7C81">
        <w:rPr>
          <w:rStyle w:val="Fett"/>
          <w:rFonts w:ascii="Arial" w:hAnsi="Arial" w:cs="Arial"/>
          <w:sz w:val="22"/>
          <w:szCs w:val="22"/>
        </w:rPr>
        <w:t>-</w:t>
      </w:r>
      <w:r w:rsidRPr="005F7C81">
        <w:rPr>
          <w:rStyle w:val="Fett"/>
          <w:rFonts w:ascii="Arial" w:hAnsi="Arial" w:cs="Arial"/>
          <w:b w:val="0"/>
          <w:sz w:val="22"/>
          <w:szCs w:val="22"/>
        </w:rPr>
        <w:t xml:space="preserve"> DIN EN 998-1 „Festlegungen für Mörtel im Mauerwerksbau, Teil 1: Putzmörtel</w:t>
      </w:r>
    </w:p>
    <w:p w14:paraId="17C6C1B6" w14:textId="77777777" w:rsidR="005F7C81" w:rsidRPr="005F7C81" w:rsidRDefault="005F7C81" w:rsidP="005F7C81">
      <w:pPr>
        <w:widowControl w:val="0"/>
        <w:autoSpaceDE w:val="0"/>
        <w:autoSpaceDN w:val="0"/>
        <w:adjustRightInd w:val="0"/>
        <w:spacing w:before="10" w:after="30"/>
        <w:ind w:left="92" w:hanging="92"/>
        <w:jc w:val="both"/>
        <w:rPr>
          <w:rStyle w:val="Fett"/>
          <w:rFonts w:ascii="Arial" w:hAnsi="Arial" w:cs="Arial"/>
          <w:b w:val="0"/>
          <w:sz w:val="22"/>
          <w:szCs w:val="22"/>
        </w:rPr>
      </w:pPr>
      <w:r w:rsidRPr="005F7C81">
        <w:rPr>
          <w:rStyle w:val="Fett"/>
          <w:rFonts w:ascii="Arial" w:hAnsi="Arial" w:cs="Arial"/>
          <w:b w:val="0"/>
          <w:sz w:val="22"/>
          <w:szCs w:val="22"/>
        </w:rPr>
        <w:t xml:space="preserve">- DIN EN 998-2 „Festlegungen für Mörtel im Mauerwerksbau, Teil 2: Mauermörtel“ in Verbindung mit </w:t>
      </w:r>
    </w:p>
    <w:p w14:paraId="3F021B50" w14:textId="77777777" w:rsidR="005F7C81" w:rsidRPr="005F7C81" w:rsidRDefault="005F7C81" w:rsidP="005F7C81">
      <w:pPr>
        <w:widowControl w:val="0"/>
        <w:autoSpaceDE w:val="0"/>
        <w:autoSpaceDN w:val="0"/>
        <w:adjustRightInd w:val="0"/>
        <w:spacing w:before="10" w:after="30"/>
        <w:ind w:left="92" w:hanging="92"/>
        <w:jc w:val="both"/>
        <w:rPr>
          <w:rStyle w:val="Fett"/>
          <w:rFonts w:ascii="Arial" w:hAnsi="Arial" w:cs="Arial"/>
          <w:b w:val="0"/>
          <w:sz w:val="22"/>
          <w:szCs w:val="22"/>
        </w:rPr>
      </w:pPr>
      <w:r w:rsidRPr="005F7C81">
        <w:rPr>
          <w:rStyle w:val="Fett"/>
          <w:rFonts w:ascii="Arial" w:hAnsi="Arial" w:cs="Arial"/>
          <w:b w:val="0"/>
          <w:sz w:val="22"/>
          <w:szCs w:val="22"/>
        </w:rPr>
        <w:t xml:space="preserve">- DIN 20000-412 </w:t>
      </w:r>
      <w:r w:rsidRPr="005F7C81">
        <w:rPr>
          <w:rFonts w:ascii="Arial" w:hAnsi="Arial" w:cs="Arial"/>
          <w:sz w:val="22"/>
          <w:szCs w:val="22"/>
        </w:rPr>
        <w:t>„</w:t>
      </w:r>
      <w:r w:rsidRPr="005F7C81">
        <w:rPr>
          <w:rStyle w:val="Fett"/>
          <w:rFonts w:ascii="Arial" w:hAnsi="Arial" w:cs="Arial"/>
          <w:b w:val="0"/>
          <w:sz w:val="22"/>
          <w:szCs w:val="22"/>
        </w:rPr>
        <w:t>Anwendung von Bauprodukten in Bauwerken - Teil 412: Regeln für die Verwendung von Mauermörtel nach DIN EN 998-2“</w:t>
      </w:r>
    </w:p>
    <w:p w14:paraId="4EDEAEBE" w14:textId="77777777" w:rsidR="005F7C81" w:rsidRPr="005F7C81" w:rsidRDefault="005F7C81" w:rsidP="005F7C81">
      <w:pPr>
        <w:widowControl w:val="0"/>
        <w:autoSpaceDE w:val="0"/>
        <w:autoSpaceDN w:val="0"/>
        <w:adjustRightInd w:val="0"/>
        <w:spacing w:before="10" w:after="30"/>
        <w:ind w:left="92" w:hanging="92"/>
        <w:jc w:val="both"/>
        <w:rPr>
          <w:sz w:val="28"/>
          <w:szCs w:val="28"/>
        </w:rPr>
      </w:pPr>
      <w:r w:rsidRPr="005F7C81">
        <w:rPr>
          <w:rFonts w:ascii="Arial" w:hAnsi="Arial" w:cs="Arial"/>
          <w:sz w:val="22"/>
          <w:szCs w:val="22"/>
        </w:rPr>
        <w:t xml:space="preserve">- Allgemeine bauaufsichtliche Zulassungen für KS-Flachstürze, KS-Fertigteilstürze </w:t>
      </w:r>
      <w:proofErr w:type="gramStart"/>
      <w:r w:rsidRPr="005F7C81">
        <w:rPr>
          <w:rFonts w:ascii="Arial" w:hAnsi="Arial" w:cs="Arial"/>
          <w:sz w:val="22"/>
          <w:szCs w:val="22"/>
        </w:rPr>
        <w:t>und  KS</w:t>
      </w:r>
      <w:proofErr w:type="gramEnd"/>
      <w:r w:rsidRPr="005F7C81">
        <w:rPr>
          <w:rFonts w:ascii="Arial" w:hAnsi="Arial" w:cs="Arial"/>
          <w:sz w:val="22"/>
          <w:szCs w:val="22"/>
        </w:rPr>
        <w:t>-Sonderformate</w:t>
      </w:r>
    </w:p>
    <w:p w14:paraId="4FE29154" w14:textId="77777777" w:rsidR="005F7C81" w:rsidRPr="005F7C81" w:rsidRDefault="005F7C81" w:rsidP="005F7C81">
      <w:pPr>
        <w:widowControl w:val="0"/>
        <w:autoSpaceDE w:val="0"/>
        <w:autoSpaceDN w:val="0"/>
        <w:adjustRightInd w:val="0"/>
        <w:spacing w:before="10" w:after="30"/>
        <w:jc w:val="both"/>
        <w:rPr>
          <w:rFonts w:ascii="Arial" w:hAnsi="Arial" w:cs="Arial"/>
          <w:sz w:val="22"/>
          <w:szCs w:val="22"/>
        </w:rPr>
      </w:pPr>
      <w:r w:rsidRPr="005F7C81">
        <w:rPr>
          <w:rFonts w:ascii="Arial" w:hAnsi="Arial" w:cs="Arial"/>
          <w:sz w:val="22"/>
          <w:szCs w:val="22"/>
        </w:rPr>
        <w:t>- Unfallverhütungsvorschriften und Vorgaben der Bauberufsgenossenschaften,</w:t>
      </w:r>
    </w:p>
    <w:p w14:paraId="41EE2958" w14:textId="77777777" w:rsidR="005F7C81" w:rsidRPr="005F7C81" w:rsidRDefault="005F7C81" w:rsidP="005F7C81">
      <w:pPr>
        <w:widowControl w:val="0"/>
        <w:autoSpaceDE w:val="0"/>
        <w:autoSpaceDN w:val="0"/>
        <w:adjustRightInd w:val="0"/>
        <w:spacing w:before="10" w:after="30"/>
        <w:jc w:val="both"/>
        <w:rPr>
          <w:rFonts w:ascii="Arial" w:hAnsi="Arial" w:cs="Arial"/>
          <w:sz w:val="22"/>
          <w:szCs w:val="22"/>
        </w:rPr>
      </w:pPr>
      <w:r w:rsidRPr="005F7C81">
        <w:rPr>
          <w:rFonts w:ascii="Arial" w:hAnsi="Arial" w:cs="Arial"/>
          <w:sz w:val="22"/>
          <w:szCs w:val="22"/>
        </w:rPr>
        <w:t>- Anwendungstechnische Informationen der Kalksandsteinindustrie.</w:t>
      </w:r>
    </w:p>
    <w:p w14:paraId="68B4E909" w14:textId="77777777" w:rsidR="005F7C81" w:rsidRPr="005F7C81" w:rsidRDefault="005F7C81" w:rsidP="005F7C81">
      <w:pPr>
        <w:widowControl w:val="0"/>
        <w:autoSpaceDE w:val="0"/>
        <w:autoSpaceDN w:val="0"/>
        <w:adjustRightInd w:val="0"/>
        <w:spacing w:before="10" w:after="30"/>
        <w:jc w:val="both"/>
        <w:rPr>
          <w:rFonts w:ascii="Arial" w:hAnsi="Arial" w:cs="Arial"/>
          <w:sz w:val="22"/>
          <w:szCs w:val="22"/>
        </w:rPr>
      </w:pPr>
    </w:p>
    <w:p w14:paraId="46F07E08" w14:textId="37303C5D" w:rsidR="005F7C81" w:rsidRPr="005F7C81" w:rsidRDefault="005F7C81" w:rsidP="005F7C81">
      <w:pPr>
        <w:widowControl w:val="0"/>
        <w:autoSpaceDE w:val="0"/>
        <w:autoSpaceDN w:val="0"/>
        <w:adjustRightInd w:val="0"/>
        <w:spacing w:before="10" w:after="30"/>
        <w:jc w:val="both"/>
        <w:rPr>
          <w:rFonts w:ascii="Arial" w:hAnsi="Arial" w:cs="Arial"/>
          <w:sz w:val="22"/>
          <w:szCs w:val="22"/>
        </w:rPr>
      </w:pPr>
      <w:r w:rsidRPr="005F7C81">
        <w:rPr>
          <w:rFonts w:ascii="Arial" w:hAnsi="Arial" w:cs="Arial"/>
          <w:sz w:val="22"/>
          <w:szCs w:val="22"/>
        </w:rPr>
        <w:t>Die Liefermöglichkeiten der ausgewählten Kalksandsteinprodukte (Steinarten, Formate, Steindruckfestigkeitsklassen, Rohdichteklassen, etc.) sind den regionalen KS-Produktprogrammen zu entnehmen. Die Leistungen umfassen grundsätzlich das Herstellen des Mauerwerks einschließlich Liefern aller Materialien und Geräte.</w:t>
      </w:r>
    </w:p>
    <w:p w14:paraId="131FC749" w14:textId="77777777" w:rsidR="005F7C81" w:rsidRPr="005F7C81" w:rsidRDefault="005F7C81" w:rsidP="005F7C81">
      <w:pPr>
        <w:widowControl w:val="0"/>
        <w:autoSpaceDE w:val="0"/>
        <w:autoSpaceDN w:val="0"/>
        <w:adjustRightInd w:val="0"/>
        <w:spacing w:before="10" w:after="30"/>
        <w:jc w:val="both"/>
        <w:rPr>
          <w:rFonts w:ascii="Arial" w:hAnsi="Arial" w:cs="Arial"/>
          <w:sz w:val="22"/>
          <w:szCs w:val="22"/>
        </w:rPr>
      </w:pPr>
    </w:p>
    <w:p w14:paraId="452CEED8" w14:textId="64F73C18" w:rsidR="005F7C81" w:rsidRPr="005F7C81" w:rsidRDefault="005F7C81" w:rsidP="005F7C81">
      <w:pPr>
        <w:widowControl w:val="0"/>
        <w:autoSpaceDE w:val="0"/>
        <w:autoSpaceDN w:val="0"/>
        <w:adjustRightInd w:val="0"/>
        <w:spacing w:before="10" w:after="30"/>
        <w:jc w:val="both"/>
        <w:rPr>
          <w:rFonts w:ascii="Arial" w:hAnsi="Arial" w:cs="Arial"/>
          <w:b/>
          <w:bCs/>
          <w:sz w:val="22"/>
          <w:szCs w:val="22"/>
        </w:rPr>
      </w:pPr>
      <w:r w:rsidRPr="005F7C81">
        <w:rPr>
          <w:rFonts w:ascii="Arial" w:hAnsi="Arial" w:cs="Arial"/>
          <w:b/>
          <w:bCs/>
          <w:sz w:val="22"/>
          <w:szCs w:val="22"/>
        </w:rPr>
        <w:t>Abladeplatz / Zufahrtsweg</w:t>
      </w:r>
      <w:r w:rsidRPr="005F7C81">
        <w:rPr>
          <w:rFonts w:ascii="Arial" w:hAnsi="Arial" w:cs="Arial"/>
          <w:b/>
          <w:bCs/>
          <w:sz w:val="22"/>
          <w:szCs w:val="22"/>
        </w:rPr>
        <w:t xml:space="preserve">: </w:t>
      </w:r>
    </w:p>
    <w:p w14:paraId="67D3BE91" w14:textId="63DBBBAA" w:rsidR="005F7C81" w:rsidRDefault="005F7C81" w:rsidP="005F7C81">
      <w:pPr>
        <w:widowControl w:val="0"/>
        <w:autoSpaceDE w:val="0"/>
        <w:autoSpaceDN w:val="0"/>
        <w:adjustRightInd w:val="0"/>
        <w:spacing w:before="10" w:after="30"/>
        <w:jc w:val="both"/>
        <w:rPr>
          <w:rFonts w:ascii="Arial" w:hAnsi="Arial" w:cs="Arial"/>
          <w:sz w:val="22"/>
          <w:szCs w:val="22"/>
        </w:rPr>
      </w:pPr>
      <w:r w:rsidRPr="005F7C81">
        <w:rPr>
          <w:rFonts w:ascii="Arial" w:hAnsi="Arial" w:cs="Arial"/>
          <w:sz w:val="22"/>
          <w:szCs w:val="22"/>
        </w:rPr>
        <w:t xml:space="preserve">Die Baustelle wie auch der Abladeplatz innerhalb des Baugeländes müssen auf einem für Schwerlastfahrzeuge (bis 40 t) geeigneten, tragfähigen Zufahrtsweg erreichbar sein. Die Entladestellen sind so vorzubereiten, dass die angelieferten Steinpakete auf sauberem, festem und ebenem Untergrund abgesetzt werden können, z.B. auf Paletten oder Bohlengelege. </w:t>
      </w:r>
    </w:p>
    <w:p w14:paraId="7FBB4E0F" w14:textId="77777777" w:rsidR="005F7C81" w:rsidRPr="005F7C81" w:rsidRDefault="005F7C81" w:rsidP="005F7C81">
      <w:pPr>
        <w:widowControl w:val="0"/>
        <w:autoSpaceDE w:val="0"/>
        <w:autoSpaceDN w:val="0"/>
        <w:adjustRightInd w:val="0"/>
        <w:spacing w:before="10" w:after="30"/>
        <w:jc w:val="both"/>
        <w:rPr>
          <w:rFonts w:ascii="Arial" w:hAnsi="Arial" w:cs="Arial"/>
          <w:sz w:val="22"/>
          <w:szCs w:val="22"/>
        </w:rPr>
      </w:pPr>
    </w:p>
    <w:p w14:paraId="4142A24F" w14:textId="6835FD5F" w:rsidR="005F7C81" w:rsidRPr="005F7C81" w:rsidRDefault="005F7C81" w:rsidP="005F7C81">
      <w:pPr>
        <w:widowControl w:val="0"/>
        <w:autoSpaceDE w:val="0"/>
        <w:autoSpaceDN w:val="0"/>
        <w:adjustRightInd w:val="0"/>
        <w:spacing w:before="10" w:after="30"/>
        <w:jc w:val="both"/>
        <w:rPr>
          <w:rFonts w:ascii="Arial" w:hAnsi="Arial" w:cs="Arial"/>
          <w:b/>
          <w:bCs/>
          <w:sz w:val="22"/>
          <w:szCs w:val="22"/>
        </w:rPr>
      </w:pPr>
      <w:r>
        <w:rPr>
          <w:rFonts w:ascii="Arial" w:hAnsi="Arial" w:cs="Arial"/>
          <w:b/>
          <w:bCs/>
          <w:sz w:val="22"/>
          <w:szCs w:val="22"/>
        </w:rPr>
        <w:t>Witterungsschutz:</w:t>
      </w:r>
      <w:r w:rsidRPr="005F7C81">
        <w:rPr>
          <w:rFonts w:ascii="Arial" w:hAnsi="Arial" w:cs="Arial"/>
          <w:b/>
          <w:bCs/>
          <w:sz w:val="22"/>
          <w:szCs w:val="22"/>
        </w:rPr>
        <w:t xml:space="preserve"> </w:t>
      </w:r>
    </w:p>
    <w:p w14:paraId="34597E2D" w14:textId="77777777" w:rsidR="005F7C81" w:rsidRPr="005F7C81" w:rsidRDefault="005F7C81" w:rsidP="005F7C81">
      <w:pPr>
        <w:widowControl w:val="0"/>
        <w:autoSpaceDE w:val="0"/>
        <w:autoSpaceDN w:val="0"/>
        <w:adjustRightInd w:val="0"/>
        <w:spacing w:before="10" w:after="30"/>
        <w:jc w:val="both"/>
        <w:rPr>
          <w:rFonts w:ascii="Arial" w:hAnsi="Arial" w:cs="Arial"/>
          <w:sz w:val="22"/>
          <w:szCs w:val="22"/>
        </w:rPr>
      </w:pPr>
      <w:r w:rsidRPr="005F7C81">
        <w:rPr>
          <w:rFonts w:ascii="Arial" w:hAnsi="Arial" w:cs="Arial"/>
          <w:sz w:val="22"/>
          <w:szCs w:val="22"/>
        </w:rPr>
        <w:t xml:space="preserve">Das Sichern der Arbeiten gegen Niederschlagswasser, mit dem üblicherweise zu rechnen ist, und die Ableitung des Wassers, ist eine Nebenleistung nach DIN 18299-VOB/C. Baustoffe, z.B. Mauersteine und Mörtel, sowie Bauteile, z.B. Wände, sind daher z.B. durch Abdecken mit Folie gegen Niederschlagswasser zu schützen. </w:t>
      </w:r>
    </w:p>
    <w:p w14:paraId="06FDF545" w14:textId="0B5CF645" w:rsidR="005F7C81" w:rsidRPr="005F7C81" w:rsidRDefault="005F7C81" w:rsidP="005F7C81">
      <w:pPr>
        <w:widowControl w:val="0"/>
        <w:autoSpaceDE w:val="0"/>
        <w:autoSpaceDN w:val="0"/>
        <w:adjustRightInd w:val="0"/>
        <w:spacing w:before="10" w:after="30"/>
        <w:jc w:val="both"/>
        <w:rPr>
          <w:rFonts w:ascii="Arial" w:hAnsi="Arial" w:cs="Arial"/>
          <w:b/>
          <w:bCs/>
          <w:sz w:val="22"/>
          <w:szCs w:val="22"/>
        </w:rPr>
      </w:pPr>
      <w:r>
        <w:rPr>
          <w:rFonts w:ascii="Arial" w:hAnsi="Arial" w:cs="Arial"/>
          <w:b/>
          <w:bCs/>
          <w:sz w:val="22"/>
          <w:szCs w:val="22"/>
        </w:rPr>
        <w:lastRenderedPageBreak/>
        <w:t>Arbeiten bei Frost:</w:t>
      </w:r>
      <w:r w:rsidRPr="005F7C81">
        <w:rPr>
          <w:rFonts w:ascii="Arial" w:hAnsi="Arial" w:cs="Arial"/>
          <w:b/>
          <w:bCs/>
          <w:sz w:val="22"/>
          <w:szCs w:val="22"/>
        </w:rPr>
        <w:t xml:space="preserve"> </w:t>
      </w:r>
    </w:p>
    <w:p w14:paraId="57B70ED6" w14:textId="77777777" w:rsidR="005F7C81" w:rsidRPr="005F7C81" w:rsidRDefault="005F7C81" w:rsidP="005F7C81">
      <w:pPr>
        <w:widowControl w:val="0"/>
        <w:autoSpaceDE w:val="0"/>
        <w:autoSpaceDN w:val="0"/>
        <w:adjustRightInd w:val="0"/>
        <w:spacing w:before="10" w:after="30"/>
        <w:jc w:val="both"/>
        <w:rPr>
          <w:rFonts w:ascii="Arial" w:hAnsi="Arial" w:cs="Arial"/>
          <w:sz w:val="22"/>
          <w:szCs w:val="22"/>
        </w:rPr>
      </w:pPr>
      <w:r w:rsidRPr="005F7C81">
        <w:rPr>
          <w:rFonts w:ascii="Arial" w:hAnsi="Arial" w:cs="Arial"/>
          <w:sz w:val="22"/>
          <w:szCs w:val="22"/>
        </w:rPr>
        <w:t xml:space="preserve">Für Arbeiten bei Frost dürfen keine </w:t>
      </w:r>
      <w:proofErr w:type="spellStart"/>
      <w:r w:rsidRPr="005F7C81">
        <w:rPr>
          <w:rFonts w:ascii="Arial" w:hAnsi="Arial" w:cs="Arial"/>
          <w:sz w:val="22"/>
          <w:szCs w:val="22"/>
        </w:rPr>
        <w:t>chlorid</w:t>
      </w:r>
      <w:proofErr w:type="spellEnd"/>
      <w:r w:rsidRPr="005F7C81">
        <w:rPr>
          <w:rFonts w:ascii="Arial" w:hAnsi="Arial" w:cs="Arial"/>
          <w:sz w:val="22"/>
          <w:szCs w:val="22"/>
        </w:rPr>
        <w:t>- und/oder nitrathaltigen Tausalze oder Frostschutzmittel verwendet werden, da diese Mittel das Mauerwerk schädigen können. Nach DIN EN 1996 darf Mauerwerk bei Frost nur unter besonderen Schutzmaßnahmen ausgeführt werden. Zum Arbeiten bei Frost sind die Bestimmungen der DIN EN 1996 und der DIN 18330 zu beachten. Bei ungeeigneten Bedingungen, die sich aus der Witterung oder dem Raumklima ergeben, z.B. Frost, sind in Abstimmung mit dem Auftraggeber besondere Maßnahmen zu ergreifen. Gefrorene Baustoffe dürfen nicht verarbeitet werden.</w:t>
      </w:r>
    </w:p>
    <w:p w14:paraId="24C11F7B" w14:textId="77777777" w:rsidR="005F7C81" w:rsidRPr="005F7C81" w:rsidRDefault="005F7C81" w:rsidP="005F7C81">
      <w:pPr>
        <w:widowControl w:val="0"/>
        <w:autoSpaceDE w:val="0"/>
        <w:autoSpaceDN w:val="0"/>
        <w:adjustRightInd w:val="0"/>
        <w:spacing w:before="10" w:after="30"/>
        <w:jc w:val="both"/>
        <w:rPr>
          <w:rFonts w:ascii="Arial" w:hAnsi="Arial" w:cs="Arial"/>
          <w:sz w:val="22"/>
          <w:szCs w:val="22"/>
        </w:rPr>
      </w:pPr>
    </w:p>
    <w:p w14:paraId="1FE16F34" w14:textId="6D0C9164" w:rsidR="005F7C81" w:rsidRPr="005F7C81" w:rsidRDefault="005F7C81" w:rsidP="005F7C81">
      <w:pPr>
        <w:widowControl w:val="0"/>
        <w:autoSpaceDE w:val="0"/>
        <w:autoSpaceDN w:val="0"/>
        <w:adjustRightInd w:val="0"/>
        <w:spacing w:before="10" w:after="30"/>
        <w:jc w:val="both"/>
        <w:rPr>
          <w:rFonts w:ascii="Arial" w:hAnsi="Arial" w:cs="Arial"/>
          <w:b/>
          <w:bCs/>
          <w:sz w:val="22"/>
          <w:szCs w:val="22"/>
        </w:rPr>
      </w:pPr>
      <w:r>
        <w:rPr>
          <w:rFonts w:ascii="Arial" w:hAnsi="Arial" w:cs="Arial"/>
          <w:b/>
          <w:bCs/>
          <w:sz w:val="22"/>
          <w:szCs w:val="22"/>
        </w:rPr>
        <w:t>Arbeiten bei hohen Temperaturen:</w:t>
      </w:r>
      <w:r w:rsidRPr="005F7C81">
        <w:rPr>
          <w:rFonts w:ascii="Arial" w:hAnsi="Arial" w:cs="Arial"/>
          <w:b/>
          <w:bCs/>
          <w:sz w:val="22"/>
          <w:szCs w:val="22"/>
        </w:rPr>
        <w:t xml:space="preserve"> </w:t>
      </w:r>
    </w:p>
    <w:p w14:paraId="2673D63D" w14:textId="77777777" w:rsidR="005F7C81" w:rsidRPr="005F7C81" w:rsidRDefault="005F7C81" w:rsidP="005F7C81">
      <w:pPr>
        <w:widowControl w:val="0"/>
        <w:autoSpaceDE w:val="0"/>
        <w:autoSpaceDN w:val="0"/>
        <w:adjustRightInd w:val="0"/>
        <w:spacing w:before="10" w:after="30"/>
        <w:jc w:val="both"/>
        <w:rPr>
          <w:rFonts w:ascii="Arial" w:hAnsi="Arial" w:cs="Arial"/>
          <w:sz w:val="22"/>
          <w:szCs w:val="22"/>
        </w:rPr>
      </w:pPr>
      <w:r w:rsidRPr="005F7C81">
        <w:rPr>
          <w:rFonts w:ascii="Arial" w:hAnsi="Arial" w:cs="Arial"/>
          <w:sz w:val="22"/>
          <w:szCs w:val="22"/>
        </w:rPr>
        <w:t>Bei hohen sommerlichen Temperaturen sind die Steine vorzu nässen. Zusätzlich ist das Mauerwerk vor dem Austrocknen zu schützen.</w:t>
      </w:r>
    </w:p>
    <w:p w14:paraId="44EEAC6A" w14:textId="77777777" w:rsidR="005F7C81" w:rsidRPr="005F7C81" w:rsidRDefault="005F7C81" w:rsidP="005F7C81">
      <w:pPr>
        <w:widowControl w:val="0"/>
        <w:autoSpaceDE w:val="0"/>
        <w:autoSpaceDN w:val="0"/>
        <w:adjustRightInd w:val="0"/>
        <w:spacing w:before="10" w:after="30"/>
        <w:jc w:val="both"/>
        <w:rPr>
          <w:rFonts w:ascii="Arial" w:hAnsi="Arial" w:cs="Arial"/>
          <w:sz w:val="22"/>
          <w:szCs w:val="22"/>
        </w:rPr>
      </w:pPr>
    </w:p>
    <w:p w14:paraId="13593893" w14:textId="7E76B292" w:rsidR="005F7C81" w:rsidRPr="005F7C81" w:rsidRDefault="005F7C81" w:rsidP="005F7C81">
      <w:pPr>
        <w:widowControl w:val="0"/>
        <w:autoSpaceDE w:val="0"/>
        <w:autoSpaceDN w:val="0"/>
        <w:adjustRightInd w:val="0"/>
        <w:spacing w:before="10" w:after="30"/>
        <w:jc w:val="both"/>
        <w:rPr>
          <w:rFonts w:ascii="Arial" w:hAnsi="Arial" w:cs="Arial"/>
          <w:b/>
          <w:bCs/>
          <w:sz w:val="22"/>
          <w:szCs w:val="22"/>
        </w:rPr>
      </w:pPr>
      <w:r w:rsidRPr="005F7C81">
        <w:rPr>
          <w:rFonts w:ascii="Arial" w:hAnsi="Arial" w:cs="Arial"/>
          <w:b/>
          <w:bCs/>
          <w:sz w:val="22"/>
          <w:szCs w:val="22"/>
        </w:rPr>
        <w:t>Oberflächenbehandlung von Innenwänden:</w:t>
      </w:r>
      <w:r w:rsidRPr="005F7C81">
        <w:rPr>
          <w:rFonts w:ascii="Arial" w:hAnsi="Arial" w:cs="Arial"/>
          <w:b/>
          <w:bCs/>
          <w:sz w:val="22"/>
          <w:szCs w:val="22"/>
        </w:rPr>
        <w:t xml:space="preserve"> </w:t>
      </w:r>
    </w:p>
    <w:p w14:paraId="60DC1F9D" w14:textId="77777777" w:rsidR="005F7C81" w:rsidRPr="005F7C81" w:rsidRDefault="005F7C81" w:rsidP="005F7C81">
      <w:pPr>
        <w:widowControl w:val="0"/>
        <w:autoSpaceDE w:val="0"/>
        <w:autoSpaceDN w:val="0"/>
        <w:adjustRightInd w:val="0"/>
        <w:spacing w:before="10" w:after="30"/>
        <w:jc w:val="both"/>
        <w:rPr>
          <w:rFonts w:ascii="Arial" w:hAnsi="Arial" w:cs="Arial"/>
          <w:sz w:val="22"/>
          <w:szCs w:val="22"/>
        </w:rPr>
      </w:pPr>
      <w:r w:rsidRPr="005F7C81">
        <w:rPr>
          <w:rFonts w:ascii="Arial" w:hAnsi="Arial" w:cs="Arial"/>
          <w:sz w:val="22"/>
          <w:szCs w:val="22"/>
        </w:rPr>
        <w:t>Übliche Anforderungen an die Oberfläche der Innenwände liegen vor, wenn die Wände mit Putzen bekleidet werden, die als Träger von Anstrichen und Tapeten dienen. Erhöhte Anforderungen an die Rohbauwand ("nicht flächenfertige Wand" nach DIN 18202) oder den Innenputz sind besonders zu beschreiben.</w:t>
      </w:r>
    </w:p>
    <w:p w14:paraId="77B5BD6C" w14:textId="77777777" w:rsidR="005F7C81" w:rsidRPr="005F7C81" w:rsidRDefault="005F7C81" w:rsidP="005F7C81">
      <w:pPr>
        <w:widowControl w:val="0"/>
        <w:autoSpaceDE w:val="0"/>
        <w:autoSpaceDN w:val="0"/>
        <w:adjustRightInd w:val="0"/>
        <w:spacing w:before="10" w:after="30"/>
        <w:jc w:val="both"/>
        <w:rPr>
          <w:rFonts w:ascii="Arial" w:hAnsi="Arial" w:cs="Arial"/>
          <w:sz w:val="22"/>
          <w:szCs w:val="22"/>
        </w:rPr>
      </w:pPr>
    </w:p>
    <w:p w14:paraId="1230CDF3" w14:textId="68885E6E" w:rsidR="005F7C81" w:rsidRPr="005F7C81" w:rsidRDefault="005F7C81" w:rsidP="005F7C81">
      <w:pPr>
        <w:widowControl w:val="0"/>
        <w:autoSpaceDE w:val="0"/>
        <w:autoSpaceDN w:val="0"/>
        <w:adjustRightInd w:val="0"/>
        <w:spacing w:before="10" w:after="30"/>
        <w:jc w:val="both"/>
        <w:rPr>
          <w:rFonts w:ascii="Arial" w:hAnsi="Arial" w:cs="Arial"/>
          <w:b/>
          <w:bCs/>
          <w:sz w:val="22"/>
          <w:szCs w:val="22"/>
        </w:rPr>
      </w:pPr>
      <w:r w:rsidRPr="005F7C81">
        <w:rPr>
          <w:rFonts w:ascii="Arial" w:hAnsi="Arial" w:cs="Arial"/>
          <w:b/>
          <w:bCs/>
          <w:sz w:val="22"/>
          <w:szCs w:val="22"/>
        </w:rPr>
        <w:t>Auftrag von Innenputzen:</w:t>
      </w:r>
    </w:p>
    <w:p w14:paraId="7559A489" w14:textId="77777777" w:rsidR="005F7C81" w:rsidRPr="005F7C81" w:rsidRDefault="005F7C81" w:rsidP="005F7C81">
      <w:pPr>
        <w:widowControl w:val="0"/>
        <w:autoSpaceDE w:val="0"/>
        <w:autoSpaceDN w:val="0"/>
        <w:adjustRightInd w:val="0"/>
        <w:spacing w:before="10" w:after="30"/>
        <w:jc w:val="both"/>
        <w:rPr>
          <w:rFonts w:ascii="Arial" w:hAnsi="Arial" w:cs="Arial"/>
          <w:sz w:val="22"/>
          <w:szCs w:val="22"/>
        </w:rPr>
      </w:pPr>
      <w:r w:rsidRPr="005F7C81">
        <w:rPr>
          <w:rFonts w:ascii="Arial" w:hAnsi="Arial" w:cs="Arial"/>
          <w:sz w:val="22"/>
          <w:szCs w:val="22"/>
        </w:rPr>
        <w:t>Einlagig aufgetragene Putze sind in der Regel Untergründe zur weiteren Bearbeitung.</w:t>
      </w:r>
    </w:p>
    <w:p w14:paraId="0B0A23FE" w14:textId="77777777" w:rsidR="005F7C81" w:rsidRPr="005F7C81" w:rsidRDefault="005F7C81" w:rsidP="005F7C81">
      <w:pPr>
        <w:widowControl w:val="0"/>
        <w:autoSpaceDE w:val="0"/>
        <w:autoSpaceDN w:val="0"/>
        <w:adjustRightInd w:val="0"/>
        <w:spacing w:before="10" w:after="30"/>
        <w:jc w:val="both"/>
        <w:rPr>
          <w:rFonts w:ascii="Arial" w:hAnsi="Arial" w:cs="Arial"/>
          <w:sz w:val="22"/>
          <w:szCs w:val="22"/>
        </w:rPr>
      </w:pPr>
      <w:r w:rsidRPr="005F7C81">
        <w:rPr>
          <w:rFonts w:ascii="Arial" w:hAnsi="Arial" w:cs="Arial"/>
          <w:sz w:val="22"/>
          <w:szCs w:val="22"/>
        </w:rPr>
        <w:t xml:space="preserve">Die Vorbehandlung des Putzgrundes, wie Anbringen eines Spritzbewurfes, Auftragen einer Haftbrücke oder Vorbehandeln stark saugender Putzgründe zählt dabei zu den besonderen Leistungen. </w:t>
      </w:r>
    </w:p>
    <w:p w14:paraId="1F138371" w14:textId="77777777" w:rsidR="005F7C81" w:rsidRPr="005F7C81" w:rsidRDefault="005F7C81" w:rsidP="005F7C81">
      <w:pPr>
        <w:widowControl w:val="0"/>
        <w:autoSpaceDE w:val="0"/>
        <w:autoSpaceDN w:val="0"/>
        <w:adjustRightInd w:val="0"/>
        <w:spacing w:before="10" w:after="30"/>
        <w:jc w:val="both"/>
        <w:rPr>
          <w:rFonts w:ascii="Arial" w:hAnsi="Arial" w:cs="Arial"/>
          <w:sz w:val="22"/>
          <w:szCs w:val="22"/>
        </w:rPr>
      </w:pPr>
      <w:r w:rsidRPr="005F7C81">
        <w:rPr>
          <w:rFonts w:ascii="Arial" w:hAnsi="Arial" w:cs="Arial"/>
          <w:sz w:val="22"/>
          <w:szCs w:val="22"/>
        </w:rPr>
        <w:t>Bei höheren Anforderungen an die Oberflächenbeschaffenheit sind auf den Grundputz z.B. zusätzliche Wandbeläge (Vliese, Gewebetapeten) oder fachgerecht aufgebaute Beschichtungen nach DIN 18363 mit Grundierung, (Gewebe-, Vlies-) Spachtelung und Beschichtung bzw. Anstrich aufzubringen. Soll die Wandfläche nur angestrichen werden, so sind erhöhte Anforderungen (z.B. Qualitätsstufe Q 3 nach DIN 18550) zu stellen. Hier sind abgestimmte Oberflächensysteme (Grundputz, Beschichtung, (Wandbeläge) festzulegen und auszuschreiben.</w:t>
      </w:r>
    </w:p>
    <w:p w14:paraId="01C8B3A4" w14:textId="4657B11D" w:rsidR="00DE5F4D" w:rsidRPr="005F7C81" w:rsidRDefault="0032262C" w:rsidP="005F7C81">
      <w:pPr>
        <w:jc w:val="both"/>
        <w:rPr>
          <w:sz w:val="28"/>
          <w:szCs w:val="28"/>
        </w:rPr>
      </w:pPr>
    </w:p>
    <w:p w14:paraId="380B3D75" w14:textId="77777777" w:rsidR="005F7C81" w:rsidRPr="005F7C81" w:rsidRDefault="005F7C81" w:rsidP="005F7C81">
      <w:pPr>
        <w:widowControl w:val="0"/>
        <w:autoSpaceDE w:val="0"/>
        <w:autoSpaceDN w:val="0"/>
        <w:adjustRightInd w:val="0"/>
        <w:spacing w:before="10" w:after="30"/>
        <w:jc w:val="both"/>
        <w:rPr>
          <w:rFonts w:ascii="Arial" w:hAnsi="Arial" w:cs="Arial"/>
          <w:sz w:val="22"/>
          <w:szCs w:val="22"/>
        </w:rPr>
      </w:pPr>
      <w:r w:rsidRPr="005F7C81">
        <w:rPr>
          <w:rFonts w:ascii="Arial" w:hAnsi="Arial" w:cs="Arial"/>
          <w:b/>
          <w:bCs/>
          <w:sz w:val="22"/>
          <w:szCs w:val="22"/>
        </w:rPr>
        <w:t>gleichwertige technische Spezifikationen</w:t>
      </w:r>
    </w:p>
    <w:p w14:paraId="2D328CF0" w14:textId="224180C8" w:rsidR="005F7C81" w:rsidRPr="005F7C81" w:rsidRDefault="005F7C81" w:rsidP="005F7C81">
      <w:pPr>
        <w:jc w:val="both"/>
        <w:rPr>
          <w:sz w:val="28"/>
          <w:szCs w:val="28"/>
        </w:rPr>
      </w:pPr>
      <w:r w:rsidRPr="005F7C81">
        <w:rPr>
          <w:rFonts w:ascii="Arial" w:hAnsi="Arial" w:cs="Arial"/>
          <w:sz w:val="22"/>
          <w:szCs w:val="22"/>
        </w:rPr>
        <w:t>Soweit in der Leistungsbeschreibung auf Technische Spezifikationen Bezug genommen wird, z. B. nationale Normen, mit denen Europäische Normen umgesetzt werden, europäische technische Zulassungen, gemeinsame technische Spezifikationen, internationale Normen, werden auch ohne den ausdrücklichen Zusatz: oder gleichwertig, immer gleichwertige Technische Spezifikationen in Bezug genommen.</w:t>
      </w:r>
    </w:p>
    <w:sectPr w:rsidR="005F7C81" w:rsidRPr="005F7C81">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967C3" w14:textId="77777777" w:rsidR="0032262C" w:rsidRDefault="0032262C" w:rsidP="00410F1D">
      <w:r>
        <w:separator/>
      </w:r>
    </w:p>
  </w:endnote>
  <w:endnote w:type="continuationSeparator" w:id="0">
    <w:p w14:paraId="53B7AC25" w14:textId="77777777" w:rsidR="0032262C" w:rsidRDefault="0032262C" w:rsidP="0041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38178" w14:textId="77777777" w:rsidR="00410F1D" w:rsidRDefault="00410F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8F368" w14:textId="77777777" w:rsidR="00410F1D" w:rsidRDefault="00410F1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4B968" w14:textId="77777777" w:rsidR="00410F1D" w:rsidRDefault="00410F1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B7D55" w14:textId="77777777" w:rsidR="0032262C" w:rsidRDefault="0032262C" w:rsidP="00410F1D">
      <w:r>
        <w:separator/>
      </w:r>
    </w:p>
  </w:footnote>
  <w:footnote w:type="continuationSeparator" w:id="0">
    <w:p w14:paraId="59EA11CE" w14:textId="77777777" w:rsidR="0032262C" w:rsidRDefault="0032262C" w:rsidP="00410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4928E" w14:textId="11F73FE8" w:rsidR="00410F1D" w:rsidRDefault="0032262C">
    <w:pPr>
      <w:pStyle w:val="Kopfzeile"/>
    </w:pPr>
    <w:r>
      <w:rPr>
        <w:noProof/>
      </w:rPr>
      <w:pict w14:anchorId="555B5A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146438" o:spid="_x0000_s2050" type="#_x0000_t75" style="position:absolute;margin-left:0;margin-top:0;width:453.55pt;height:452.65pt;z-index:-251657216;mso-position-horizontal:center;mso-position-horizontal-relative:margin;mso-position-vertical:center;mso-position-vertical-relative:margin" o:allowincell="f">
          <v:imagedata r:id="rId1" o:title="HP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92AAF" w14:textId="2CA1770E" w:rsidR="00410F1D" w:rsidRDefault="0032262C">
    <w:pPr>
      <w:pStyle w:val="Kopfzeile"/>
    </w:pPr>
    <w:r>
      <w:rPr>
        <w:noProof/>
      </w:rPr>
      <w:pict w14:anchorId="496123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146439" o:spid="_x0000_s2051" type="#_x0000_t75" style="position:absolute;margin-left:0;margin-top:0;width:453.55pt;height:452.65pt;z-index:-251656192;mso-position-horizontal:center;mso-position-horizontal-relative:margin;mso-position-vertical:center;mso-position-vertical-relative:margin" o:allowincell="f">
          <v:imagedata r:id="rId1" o:title="HPF"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90C06" w14:textId="7F8AE9BA" w:rsidR="00410F1D" w:rsidRDefault="0032262C">
    <w:pPr>
      <w:pStyle w:val="Kopfzeile"/>
    </w:pPr>
    <w:r>
      <w:rPr>
        <w:noProof/>
      </w:rPr>
      <w:pict w14:anchorId="0F357C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146437" o:spid="_x0000_s2049" type="#_x0000_t75" style="position:absolute;margin-left:0;margin-top:0;width:453.55pt;height:452.65pt;z-index:-251658240;mso-position-horizontal:center;mso-position-horizontal-relative:margin;mso-position-vertical:center;mso-position-vertical-relative:margin" o:allowincell="f">
          <v:imagedata r:id="rId1" o:title="HPF"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F69"/>
    <w:rsid w:val="00153AAA"/>
    <w:rsid w:val="0032262C"/>
    <w:rsid w:val="00410F1D"/>
    <w:rsid w:val="004D0C26"/>
    <w:rsid w:val="005F7C81"/>
    <w:rsid w:val="00A01F69"/>
    <w:rsid w:val="00FC1B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8062B6"/>
  <w15:chartTrackingRefBased/>
  <w15:docId w15:val="{6EB9532D-496E-4340-A144-15ED412D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7C8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0F1D"/>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410F1D"/>
  </w:style>
  <w:style w:type="paragraph" w:styleId="Fuzeile">
    <w:name w:val="footer"/>
    <w:basedOn w:val="Standard"/>
    <w:link w:val="FuzeileZchn"/>
    <w:uiPriority w:val="99"/>
    <w:unhideWhenUsed/>
    <w:rsid w:val="00410F1D"/>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410F1D"/>
  </w:style>
  <w:style w:type="character" w:styleId="Fett">
    <w:name w:val="Strong"/>
    <w:basedOn w:val="Absatz-Standardschriftart"/>
    <w:uiPriority w:val="22"/>
    <w:qFormat/>
    <w:rsid w:val="005F7C81"/>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545180">
      <w:bodyDiv w:val="1"/>
      <w:marLeft w:val="0"/>
      <w:marRight w:val="0"/>
      <w:marTop w:val="0"/>
      <w:marBottom w:val="0"/>
      <w:divBdr>
        <w:top w:val="none" w:sz="0" w:space="0" w:color="auto"/>
        <w:left w:val="none" w:sz="0" w:space="0" w:color="auto"/>
        <w:bottom w:val="none" w:sz="0" w:space="0" w:color="auto"/>
        <w:right w:val="none" w:sz="0" w:space="0" w:color="auto"/>
      </w:divBdr>
    </w:div>
    <w:div w:id="20929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4587</Characters>
  <Application>Microsoft Office Word</Application>
  <DocSecurity>0</DocSecurity>
  <Lines>38</Lines>
  <Paragraphs>10</Paragraphs>
  <ScaleCrop>false</ScaleCrop>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Christian</dc:creator>
  <cp:keywords/>
  <dc:description/>
  <cp:lastModifiedBy>Peter, Christian</cp:lastModifiedBy>
  <cp:revision>2</cp:revision>
  <dcterms:created xsi:type="dcterms:W3CDTF">2020-06-23T12:18:00Z</dcterms:created>
  <dcterms:modified xsi:type="dcterms:W3CDTF">2020-06-23T12:18:00Z</dcterms:modified>
</cp:coreProperties>
</file>